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95B32">
        <w:rPr>
          <w:rFonts w:eastAsia="Calibri" w:cs="Times New Roman"/>
          <w:sz w:val="20"/>
          <w:szCs w:val="22"/>
          <w:lang w:eastAsia="pl-PL" w:bidi="en-US"/>
        </w:rPr>
        <w:t>335</w:t>
      </w:r>
      <w:r w:rsidR="00DB105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D25552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5670854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864FCA">
        <w:rPr>
          <w:rFonts w:eastAsia="Times New Roman"/>
          <w:sz w:val="20"/>
          <w:szCs w:val="20"/>
          <w:lang w:eastAsia="pl-PL"/>
        </w:rPr>
        <w:t>26.11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395B32">
        <w:rPr>
          <w:rFonts w:eastAsia="Times New Roman" w:cs="Times New Roman"/>
          <w:b/>
          <w:sz w:val="20"/>
          <w:szCs w:val="20"/>
          <w:lang w:eastAsia="pl-PL"/>
        </w:rPr>
        <w:t xml:space="preserve">Dworcowa 7/86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395B32" w:rsidRPr="00395B32">
        <w:rPr>
          <w:rFonts w:eastAsia="Times New Roman" w:cs="Times New Roman"/>
          <w:b/>
          <w:sz w:val="20"/>
          <w:szCs w:val="20"/>
          <w:lang w:eastAsia="pl-PL"/>
        </w:rPr>
        <w:t xml:space="preserve">Dworcowa 7/86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>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864FCA">
        <w:rPr>
          <w:rFonts w:eastAsia="Times New Roman"/>
          <w:b/>
          <w:sz w:val="20"/>
          <w:szCs w:val="20"/>
          <w:lang w:eastAsia="pl-PL"/>
        </w:rPr>
        <w:t>29.12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64FCA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864FCA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864FCA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61964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395B32" w:rsidRPr="00395B32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Dworcowa 7/86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864FC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864FCA">
              <w:rPr>
                <w:rFonts w:eastAsia="Times New Roman"/>
                <w:b/>
                <w:sz w:val="20"/>
                <w:szCs w:val="20"/>
                <w:lang w:eastAsia="pl-PL"/>
              </w:rPr>
              <w:t>03.12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395B32">
              <w:rPr>
                <w:rFonts w:eastAsia="Times New Roman"/>
                <w:b/>
                <w:sz w:val="20"/>
                <w:szCs w:val="20"/>
                <w:lang w:eastAsia="pl-PL"/>
              </w:rPr>
              <w:t>3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864FCA">
        <w:rPr>
          <w:rFonts w:eastAsia="Times New Roman"/>
          <w:b/>
          <w:sz w:val="20"/>
          <w:szCs w:val="20"/>
          <w:lang w:eastAsia="pl-PL"/>
        </w:rPr>
        <w:t>03.12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864FCA">
        <w:rPr>
          <w:rFonts w:eastAsia="Times New Roman"/>
          <w:b/>
          <w:sz w:val="20"/>
          <w:szCs w:val="20"/>
          <w:lang w:eastAsia="pl-PL"/>
        </w:rPr>
        <w:t>03.12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395B32">
        <w:rPr>
          <w:rFonts w:eastAsia="Times New Roman"/>
          <w:b/>
          <w:sz w:val="20"/>
          <w:szCs w:val="20"/>
          <w:lang w:eastAsia="pl-PL"/>
        </w:rPr>
        <w:t>3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395B32">
        <w:rPr>
          <w:rFonts w:eastAsia="Times New Roman"/>
          <w:b/>
          <w:sz w:val="20"/>
          <w:szCs w:val="20"/>
          <w:lang w:eastAsia="pl-PL"/>
        </w:rPr>
        <w:t>335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>ul</w:t>
      </w:r>
      <w:r w:rsidR="00395B32">
        <w:rPr>
          <w:rFonts w:eastAsia="Times New Roman" w:cs="Tahoma"/>
          <w:b/>
          <w:bCs/>
          <w:szCs w:val="20"/>
          <w:lang w:eastAsia="pl-PL"/>
        </w:rPr>
        <w:t>.</w:t>
      </w:r>
      <w:r w:rsidR="00395B32" w:rsidRPr="00395B32">
        <w:rPr>
          <w:rFonts w:eastAsia="Times New Roman"/>
          <w:b/>
          <w:szCs w:val="20"/>
          <w:lang w:eastAsia="pl-PL" w:bidi="ar-SA"/>
        </w:rPr>
        <w:t xml:space="preserve"> </w:t>
      </w:r>
      <w:r w:rsidR="00395B32" w:rsidRPr="00395B32">
        <w:rPr>
          <w:rFonts w:eastAsia="Times New Roman" w:cs="Tahoma"/>
          <w:b/>
          <w:bCs/>
          <w:szCs w:val="20"/>
          <w:lang w:eastAsia="pl-PL"/>
        </w:rPr>
        <w:t>Dworcowa 7/86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395B32">
        <w:rPr>
          <w:rFonts w:eastAsia="Times New Roman" w:cs="Tahoma"/>
          <w:b/>
          <w:bCs/>
          <w:szCs w:val="20"/>
          <w:lang w:eastAsia="pl-PL"/>
        </w:rPr>
        <w:t>335</w:t>
      </w:r>
      <w:bookmarkStart w:id="0" w:name="_GoBack"/>
      <w:bookmarkEnd w:id="0"/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864FCA">
        <w:rPr>
          <w:rFonts w:eastAsia="Times New Roman"/>
          <w:bCs/>
          <w:sz w:val="20"/>
          <w:szCs w:val="20"/>
          <w:lang w:eastAsia="pl-PL"/>
        </w:rPr>
        <w:t>26.11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552" w:rsidRDefault="00D25552" w:rsidP="00ED682F">
      <w:pPr>
        <w:spacing w:after="0" w:line="240" w:lineRule="auto"/>
      </w:pPr>
      <w:r>
        <w:separator/>
      </w:r>
    </w:p>
  </w:endnote>
  <w:endnote w:type="continuationSeparator" w:id="0">
    <w:p w:rsidR="00D25552" w:rsidRDefault="00D25552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552" w:rsidRDefault="00D25552" w:rsidP="00ED682F">
      <w:pPr>
        <w:spacing w:after="0" w:line="240" w:lineRule="auto"/>
      </w:pPr>
      <w:r>
        <w:separator/>
      </w:r>
    </w:p>
  </w:footnote>
  <w:footnote w:type="continuationSeparator" w:id="0">
    <w:p w:rsidR="00D25552" w:rsidRDefault="00D25552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3340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9475E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5B32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C571D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57F7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4FCA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4AC6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40C8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23A5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552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14"/>
    <w:rsid w:val="00E50B58"/>
    <w:rsid w:val="00E50D5E"/>
    <w:rsid w:val="00E54688"/>
    <w:rsid w:val="00E555A4"/>
    <w:rsid w:val="00E70BC6"/>
    <w:rsid w:val="00E75292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2EC7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6D90B-2202-4131-96CA-AF20EB1AF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2873</Words>
  <Characters>17244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2025-11-26T13:01:00Z</cp:lastPrinted>
  <dcterms:created xsi:type="dcterms:W3CDTF">2025-11-26T13:01:00Z</dcterms:created>
  <dcterms:modified xsi:type="dcterms:W3CDTF">2025-11-26T13:01:00Z</dcterms:modified>
</cp:coreProperties>
</file>